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0759B" w14:textId="77777777" w:rsidR="00DB6BDB" w:rsidRPr="00E744D6" w:rsidRDefault="00DB6BDB" w:rsidP="00E744D6">
      <w:pPr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E744D6">
        <w:rPr>
          <w:rFonts w:ascii="Arial" w:hAnsi="Arial" w:cs="Arial"/>
          <w:b/>
          <w:bCs/>
          <w:sz w:val="36"/>
          <w:szCs w:val="36"/>
        </w:rPr>
        <w:t>Exercice niveau de sévérité</w:t>
      </w:r>
    </w:p>
    <w:p w14:paraId="3E769E36" w14:textId="42277A66" w:rsidR="00DB6BDB" w:rsidRPr="006C6000" w:rsidRDefault="00DB6BDB" w:rsidP="00DB6BDB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C6000">
        <w:rPr>
          <w:rFonts w:ascii="Arial" w:hAnsi="Arial" w:cs="Arial"/>
          <w:b/>
          <w:bCs/>
          <w:sz w:val="24"/>
          <w:szCs w:val="24"/>
        </w:rPr>
        <w:t>À l’aide des notes de cours</w:t>
      </w:r>
      <w:r w:rsidR="00C972DF" w:rsidRPr="006C6000">
        <w:rPr>
          <w:rFonts w:ascii="Arial" w:hAnsi="Arial" w:cs="Arial"/>
          <w:b/>
          <w:bCs/>
          <w:sz w:val="24"/>
          <w:szCs w:val="24"/>
        </w:rPr>
        <w:t>,</w:t>
      </w:r>
      <w:r w:rsidRPr="006C6000">
        <w:rPr>
          <w:rFonts w:ascii="Arial" w:hAnsi="Arial" w:cs="Arial"/>
          <w:b/>
          <w:bCs/>
          <w:sz w:val="24"/>
          <w:szCs w:val="24"/>
        </w:rPr>
        <w:t xml:space="preserve"> compléter le tableau suivant</w:t>
      </w:r>
      <w:r w:rsidR="00C972DF" w:rsidRPr="006C6000">
        <w:rPr>
          <w:rFonts w:ascii="Arial" w:hAnsi="Arial" w:cs="Arial"/>
          <w:b/>
          <w:bCs/>
          <w:sz w:val="24"/>
          <w:szCs w:val="24"/>
        </w:rPr>
        <w:t xml:space="preserve"> en mentionnant deux </w:t>
      </w:r>
      <w:r w:rsidR="00E744D6" w:rsidRPr="006C6000">
        <w:rPr>
          <w:rFonts w:ascii="Arial" w:hAnsi="Arial" w:cs="Arial"/>
          <w:b/>
          <w:bCs/>
          <w:sz w:val="24"/>
          <w:szCs w:val="24"/>
        </w:rPr>
        <w:t>difficultés</w:t>
      </w:r>
      <w:r w:rsidR="006F5E47">
        <w:rPr>
          <w:rFonts w:ascii="Arial" w:hAnsi="Arial" w:cs="Arial"/>
          <w:b/>
          <w:bCs/>
          <w:sz w:val="24"/>
          <w:szCs w:val="24"/>
        </w:rPr>
        <w:t>,</w:t>
      </w:r>
      <w:r w:rsidR="00314B27">
        <w:rPr>
          <w:rFonts w:ascii="Arial" w:hAnsi="Arial" w:cs="Arial"/>
          <w:b/>
          <w:bCs/>
          <w:sz w:val="24"/>
          <w:szCs w:val="24"/>
        </w:rPr>
        <w:t xml:space="preserve"> besoins</w:t>
      </w:r>
      <w:r w:rsidR="006F5E47">
        <w:rPr>
          <w:rFonts w:ascii="Arial" w:hAnsi="Arial" w:cs="Arial"/>
          <w:b/>
          <w:bCs/>
          <w:sz w:val="24"/>
          <w:szCs w:val="24"/>
        </w:rPr>
        <w:t xml:space="preserve"> ou limitations</w:t>
      </w:r>
      <w:r w:rsidR="00E744D6" w:rsidRPr="006C6000">
        <w:rPr>
          <w:rFonts w:ascii="Arial" w:hAnsi="Arial" w:cs="Arial"/>
          <w:b/>
          <w:bCs/>
          <w:sz w:val="24"/>
          <w:szCs w:val="24"/>
        </w:rPr>
        <w:t xml:space="preserve"> dans chacun des domaines nommés, et ce, pour chacun des niveaux de sévérité</w:t>
      </w:r>
      <w:r w:rsidR="006C6000">
        <w:rPr>
          <w:rFonts w:ascii="Arial" w:hAnsi="Arial" w:cs="Arial"/>
          <w:b/>
          <w:bCs/>
          <w:sz w:val="24"/>
          <w:szCs w:val="24"/>
        </w:rPr>
        <w:t>, ainsi que le QI associé à ceux-ci.</w:t>
      </w:r>
    </w:p>
    <w:tbl>
      <w:tblPr>
        <w:tblStyle w:val="Grilledutableau"/>
        <w:tblW w:w="9865" w:type="dxa"/>
        <w:tblInd w:w="-23" w:type="dxa"/>
        <w:tblLook w:val="04A0" w:firstRow="1" w:lastRow="0" w:firstColumn="1" w:lastColumn="0" w:noHBand="0" w:noVBand="1"/>
      </w:tblPr>
      <w:tblGrid>
        <w:gridCol w:w="2010"/>
        <w:gridCol w:w="1962"/>
        <w:gridCol w:w="1963"/>
        <w:gridCol w:w="1963"/>
        <w:gridCol w:w="1967"/>
      </w:tblGrid>
      <w:tr w:rsidR="00DB6BDB" w14:paraId="13ABDDB6" w14:textId="77777777" w:rsidTr="00C972DF">
        <w:trPr>
          <w:trHeight w:val="979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A06577" w14:textId="77777777" w:rsidR="00DB6BDB" w:rsidRDefault="00DB6BDB" w:rsidP="00DB6BDB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0F617CFF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2A04F24B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LÉGER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1ACFEECE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36091A38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163FB7D4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257BFF8F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GRAVE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2107C5A0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42355933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PROFOND</w:t>
            </w:r>
          </w:p>
        </w:tc>
      </w:tr>
      <w:tr w:rsidR="00DB6BDB" w14:paraId="5596CFB8" w14:textId="77777777" w:rsidTr="00C972DF">
        <w:trPr>
          <w:trHeight w:val="4278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653CF9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E0FC98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47086B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1AC95C" w14:textId="77777777" w:rsidR="00C972DF" w:rsidRDefault="00C972DF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ABBC1E" w14:textId="77777777" w:rsidR="00C972DF" w:rsidRDefault="00C972DF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5CA1BE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DOMAINE CONCEPTUEL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E5677" w14:textId="07CB08D2" w:rsidR="00DB6BDB" w:rsidRPr="00AB62B1" w:rsidRDefault="00BB7B46" w:rsidP="00DB6BDB">
            <w:pPr>
              <w:rPr>
                <w:rFonts w:ascii="Arial" w:hAnsi="Arial" w:cs="Arial"/>
                <w:b/>
                <w:bCs/>
              </w:rPr>
            </w:pPr>
            <w:r w:rsidRPr="00AB62B1">
              <w:rPr>
                <w:rFonts w:ascii="Arial" w:hAnsi="Arial" w:cs="Arial"/>
                <w:b/>
                <w:bCs/>
              </w:rPr>
              <w:t>EXEMPLE :</w:t>
            </w:r>
          </w:p>
          <w:p w14:paraId="131E0FA6" w14:textId="77777777" w:rsidR="001F0323" w:rsidRPr="00AB62B1" w:rsidRDefault="001F0323" w:rsidP="00DB6BDB">
            <w:pPr>
              <w:rPr>
                <w:rFonts w:ascii="Arial" w:hAnsi="Arial" w:cs="Arial"/>
              </w:rPr>
            </w:pPr>
          </w:p>
          <w:p w14:paraId="00823F40" w14:textId="7AE9E9CA" w:rsidR="00BB7B46" w:rsidRDefault="00B4189A" w:rsidP="00D03BF4">
            <w:pPr>
              <w:pStyle w:val="Paragraphedeliste"/>
              <w:numPr>
                <w:ilvl w:val="0"/>
                <w:numId w:val="2"/>
              </w:numPr>
              <w:ind w:left="154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Difficulté</w:t>
            </w:r>
            <w:r w:rsidR="007149A9">
              <w:rPr>
                <w:rFonts w:ascii="Arial" w:hAnsi="Arial" w:cs="Arial"/>
              </w:rPr>
              <w:t xml:space="preserve"> à acquérir des compétences scolaire</w:t>
            </w:r>
            <w:r w:rsidR="00A36712">
              <w:rPr>
                <w:rFonts w:ascii="Arial" w:hAnsi="Arial" w:cs="Arial"/>
              </w:rPr>
              <w:t xml:space="preserve"> (lecture)</w:t>
            </w:r>
          </w:p>
          <w:p w14:paraId="7ABADD66" w14:textId="77777777" w:rsidR="00A36712" w:rsidRDefault="00A36712" w:rsidP="00A36712">
            <w:pPr>
              <w:pStyle w:val="Paragraphedeliste"/>
              <w:ind w:left="154"/>
              <w:rPr>
                <w:rFonts w:ascii="Arial" w:hAnsi="Arial" w:cs="Arial"/>
              </w:rPr>
            </w:pPr>
          </w:p>
          <w:p w14:paraId="30B5BD82" w14:textId="1351275D" w:rsidR="00A36712" w:rsidRPr="00AB62B1" w:rsidRDefault="00A36712" w:rsidP="00D03BF4">
            <w:pPr>
              <w:pStyle w:val="Paragraphedeliste"/>
              <w:numPr>
                <w:ilvl w:val="0"/>
                <w:numId w:val="2"/>
              </w:numPr>
              <w:ind w:left="154" w:hanging="1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Altération </w:t>
            </w:r>
            <w:r w:rsidR="00747DD1">
              <w:rPr>
                <w:rFonts w:ascii="Arial" w:hAnsi="Arial" w:cs="Arial"/>
              </w:rPr>
              <w:t>de la mémoire à court terme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33E2A4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8A932F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11C70A" w14:textId="5ED6D6A6" w:rsidR="004F0F65" w:rsidRPr="004F0F65" w:rsidRDefault="004F0F65" w:rsidP="004F0F65">
            <w:pPr>
              <w:pStyle w:val="Paragraphedeliste"/>
              <w:ind w:left="153" w:hanging="15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EXEMPLE :</w:t>
            </w:r>
          </w:p>
          <w:p w14:paraId="631AEDB7" w14:textId="3575DFA7" w:rsidR="0088432F" w:rsidRDefault="0088432F" w:rsidP="0088432F">
            <w:pPr>
              <w:pStyle w:val="Paragraphedeliste"/>
              <w:numPr>
                <w:ilvl w:val="0"/>
                <w:numId w:val="2"/>
              </w:numPr>
              <w:ind w:left="153" w:hanging="142"/>
              <w:rPr>
                <w:rFonts w:ascii="Arial" w:hAnsi="Arial" w:cs="Arial"/>
              </w:rPr>
            </w:pPr>
            <w:r w:rsidRPr="0088432F">
              <w:rPr>
                <w:rFonts w:ascii="Arial" w:hAnsi="Arial" w:cs="Arial"/>
              </w:rPr>
              <w:t>Aucune acquisition au niveau de la lecture et de l’écrit</w:t>
            </w:r>
          </w:p>
          <w:p w14:paraId="7969455E" w14:textId="77777777" w:rsidR="0088432F" w:rsidRDefault="0088432F" w:rsidP="0088432F">
            <w:pPr>
              <w:pStyle w:val="Paragraphedeliste"/>
              <w:ind w:left="153"/>
              <w:rPr>
                <w:rFonts w:ascii="Arial" w:hAnsi="Arial" w:cs="Arial"/>
              </w:rPr>
            </w:pPr>
          </w:p>
          <w:p w14:paraId="7B41493D" w14:textId="77777777" w:rsidR="00DB6BDB" w:rsidRDefault="0088432F" w:rsidP="0088432F">
            <w:pPr>
              <w:pStyle w:val="Paragraphedeliste"/>
              <w:numPr>
                <w:ilvl w:val="0"/>
                <w:numId w:val="2"/>
              </w:numPr>
              <w:ind w:left="153" w:hanging="142"/>
              <w:rPr>
                <w:rFonts w:ascii="Arial" w:hAnsi="Arial" w:cs="Arial"/>
              </w:rPr>
            </w:pPr>
            <w:r w:rsidRPr="0088432F">
              <w:rPr>
                <w:rFonts w:ascii="Arial" w:hAnsi="Arial" w:cs="Arial"/>
              </w:rPr>
              <w:t>Niveau de compréhension très bas</w:t>
            </w:r>
          </w:p>
          <w:p w14:paraId="12A3AFA9" w14:textId="77777777" w:rsidR="00266687" w:rsidRPr="00266687" w:rsidRDefault="00266687" w:rsidP="00266687">
            <w:pPr>
              <w:pStyle w:val="Paragraphedeliste"/>
              <w:rPr>
                <w:rFonts w:ascii="Arial" w:hAnsi="Arial" w:cs="Arial"/>
              </w:rPr>
            </w:pPr>
          </w:p>
          <w:p w14:paraId="5B3D313D" w14:textId="4A43FE56" w:rsidR="00266687" w:rsidRPr="0088432F" w:rsidRDefault="00266687" w:rsidP="0088432F">
            <w:pPr>
              <w:pStyle w:val="Paragraphedeliste"/>
              <w:numPr>
                <w:ilvl w:val="0"/>
                <w:numId w:val="2"/>
              </w:numPr>
              <w:ind w:left="153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Compétences intellectuelles</w:t>
            </w:r>
            <w:r w:rsidR="00AA2979">
              <w:rPr>
                <w:rFonts w:ascii="Arial" w:hAnsi="Arial" w:cs="Arial"/>
              </w:rPr>
              <w:t xml:space="preserve"> centrées sur le monde physique</w:t>
            </w:r>
          </w:p>
        </w:tc>
      </w:tr>
      <w:tr w:rsidR="00DB6BDB" w14:paraId="69525A6A" w14:textId="77777777" w:rsidTr="00D03BF4">
        <w:trPr>
          <w:trHeight w:val="5143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ABA887" w14:textId="77777777" w:rsidR="00DB6BDB" w:rsidRPr="00DB6BDB" w:rsidRDefault="00DB6BDB" w:rsidP="00DB6BD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CFEFC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7EEF5F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20A05" w14:textId="77777777" w:rsidR="00C972DF" w:rsidRDefault="00C972DF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373B0F" w14:textId="77777777" w:rsidR="00C972DF" w:rsidRDefault="00C972DF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16EBD" w14:textId="77777777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DOMAINE SOCIAL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21CA7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22443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5DFE8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4B784A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</w:tr>
      <w:tr w:rsidR="00C972DF" w14:paraId="32281BEC" w14:textId="77777777" w:rsidTr="00C972DF">
        <w:trPr>
          <w:trHeight w:val="948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6382CE" w14:textId="77777777" w:rsidR="00C972DF" w:rsidRDefault="00C972DF" w:rsidP="00C972DF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14:paraId="5F9DDAB2" w14:textId="5D23F14A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45DBD1E7" w14:textId="77777777" w:rsidR="00C972DF" w:rsidRPr="00DB6BDB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LÉGER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50"/>
          </w:tcPr>
          <w:p w14:paraId="1D1072B2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1B0CE019" w14:textId="77777777" w:rsidR="00C972DF" w:rsidRPr="00DB6BDB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MOYEN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57FDD2DB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3F8F091B" w14:textId="77777777" w:rsidR="00C972DF" w:rsidRPr="00DB6BDB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GRAVE</w:t>
            </w: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</w:tcPr>
          <w:p w14:paraId="6D5D19B6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Niveau de sévérité</w:t>
            </w:r>
          </w:p>
          <w:p w14:paraId="27B05135" w14:textId="77777777" w:rsidR="00C972DF" w:rsidRPr="00DB6BDB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PROFOND</w:t>
            </w:r>
          </w:p>
        </w:tc>
      </w:tr>
      <w:tr w:rsidR="00DB6BDB" w14:paraId="3543A5A4" w14:textId="77777777" w:rsidTr="00C972DF">
        <w:trPr>
          <w:trHeight w:val="4278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C3F304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4EC8D4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7B47D4" w14:textId="77777777" w:rsid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7F6F8C" w14:textId="34397E01" w:rsidR="00DB6BDB" w:rsidRPr="00DB6BDB" w:rsidRDefault="00DB6BDB" w:rsidP="00DB6BD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DOMAINE P</w:t>
            </w:r>
            <w:r w:rsidR="00C972DF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E3668A">
              <w:rPr>
                <w:rFonts w:ascii="Arial" w:hAnsi="Arial" w:cs="Arial"/>
                <w:b/>
                <w:bCs/>
                <w:sz w:val="24"/>
                <w:szCs w:val="24"/>
              </w:rPr>
              <w:t>ATIQUE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E73E67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51C884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86344B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0C78A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</w:tr>
      <w:tr w:rsidR="00DB6BDB" w14:paraId="788680FC" w14:textId="77777777" w:rsidTr="00C972DF">
        <w:trPr>
          <w:trHeight w:val="2157"/>
        </w:trPr>
        <w:tc>
          <w:tcPr>
            <w:tcW w:w="2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65A5E" w14:textId="77777777" w:rsidR="00DB6BDB" w:rsidRDefault="00DB6BDB" w:rsidP="00C972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335C786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13457CB" w14:textId="77777777" w:rsid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QI</w:t>
            </w:r>
          </w:p>
          <w:p w14:paraId="7018C0BD" w14:textId="77777777" w:rsidR="00C972DF" w:rsidRPr="00C972DF" w:rsidRDefault="00C972DF" w:rsidP="00C9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72DF">
              <w:rPr>
                <w:rFonts w:ascii="Arial" w:hAnsi="Arial" w:cs="Arial"/>
                <w:b/>
                <w:bCs/>
                <w:sz w:val="24"/>
                <w:szCs w:val="24"/>
              </w:rPr>
              <w:t>Quotient intellectuel</w:t>
            </w:r>
          </w:p>
        </w:tc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70322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2FD531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12883A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  <w:tc>
          <w:tcPr>
            <w:tcW w:w="1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00ECBB" w14:textId="77777777" w:rsidR="00DB6BDB" w:rsidRPr="00AB62B1" w:rsidRDefault="00DB6BDB" w:rsidP="00DB6BDB">
            <w:pPr>
              <w:rPr>
                <w:rFonts w:ascii="Arial" w:hAnsi="Arial" w:cs="Arial"/>
              </w:rPr>
            </w:pPr>
          </w:p>
        </w:tc>
      </w:tr>
    </w:tbl>
    <w:p w14:paraId="5B0F2AD6" w14:textId="1CA3C7C7" w:rsidR="00DB6BDB" w:rsidRDefault="00DB6BDB" w:rsidP="00DB6BDB">
      <w:pPr>
        <w:rPr>
          <w:rFonts w:ascii="Arial" w:hAnsi="Arial" w:cs="Arial"/>
          <w:b/>
          <w:bCs/>
          <w:sz w:val="32"/>
          <w:szCs w:val="32"/>
        </w:rPr>
      </w:pPr>
    </w:p>
    <w:p w14:paraId="5233E7D9" w14:textId="2C523F68" w:rsidR="00E3668A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p w14:paraId="6A574EDF" w14:textId="3279B5E7" w:rsidR="00E3668A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p w14:paraId="0244202F" w14:textId="0A936692" w:rsidR="00E3668A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p w14:paraId="53D2AB0F" w14:textId="53F93BE0" w:rsidR="00E3668A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p w14:paraId="1B7ADE56" w14:textId="53B05A8A" w:rsidR="00E3668A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p w14:paraId="2F8E3D0C" w14:textId="7EC8B1D3" w:rsidR="00E3668A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p w14:paraId="745ADBE4" w14:textId="5CB2BDED" w:rsidR="00E3668A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p w14:paraId="502D0FED" w14:textId="6BC8E756" w:rsidR="00E3668A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p w14:paraId="24495CCA" w14:textId="77777777" w:rsidR="00E3668A" w:rsidRPr="00DB6BDB" w:rsidRDefault="00E3668A" w:rsidP="00DB6BDB">
      <w:pPr>
        <w:rPr>
          <w:rFonts w:ascii="Arial" w:hAnsi="Arial" w:cs="Arial"/>
          <w:b/>
          <w:bCs/>
          <w:sz w:val="32"/>
          <w:szCs w:val="32"/>
        </w:rPr>
      </w:pPr>
    </w:p>
    <w:sectPr w:rsidR="00E3668A" w:rsidRPr="00DB6BDB" w:rsidSect="00C972DF"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CA603" w14:textId="77777777" w:rsidR="00897949" w:rsidRDefault="00897949" w:rsidP="00B167B8">
      <w:pPr>
        <w:spacing w:after="0" w:line="240" w:lineRule="auto"/>
      </w:pPr>
      <w:r>
        <w:separator/>
      </w:r>
    </w:p>
  </w:endnote>
  <w:endnote w:type="continuationSeparator" w:id="0">
    <w:p w14:paraId="76DDEEA6" w14:textId="77777777" w:rsidR="00897949" w:rsidRDefault="00897949" w:rsidP="00B16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67E4B" w14:textId="77777777" w:rsidR="00B167B8" w:rsidRDefault="00B167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4B284" w14:textId="77777777" w:rsidR="00897949" w:rsidRDefault="00897949" w:rsidP="00B167B8">
      <w:pPr>
        <w:spacing w:after="0" w:line="240" w:lineRule="auto"/>
      </w:pPr>
      <w:r>
        <w:separator/>
      </w:r>
    </w:p>
  </w:footnote>
  <w:footnote w:type="continuationSeparator" w:id="0">
    <w:p w14:paraId="0B169649" w14:textId="77777777" w:rsidR="00897949" w:rsidRDefault="00897949" w:rsidP="00B16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B3F91"/>
    <w:multiLevelType w:val="hybridMultilevel"/>
    <w:tmpl w:val="C53C44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7CF2"/>
    <w:multiLevelType w:val="hybridMultilevel"/>
    <w:tmpl w:val="268C1DC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DB"/>
    <w:rsid w:val="001F0323"/>
    <w:rsid w:val="001F7B22"/>
    <w:rsid w:val="00236675"/>
    <w:rsid w:val="00241D2B"/>
    <w:rsid w:val="00266687"/>
    <w:rsid w:val="0027654C"/>
    <w:rsid w:val="00314B27"/>
    <w:rsid w:val="004F0F65"/>
    <w:rsid w:val="006B286C"/>
    <w:rsid w:val="006C6000"/>
    <w:rsid w:val="006F5E47"/>
    <w:rsid w:val="007149A9"/>
    <w:rsid w:val="00747DD1"/>
    <w:rsid w:val="0088432F"/>
    <w:rsid w:val="00897949"/>
    <w:rsid w:val="009B5508"/>
    <w:rsid w:val="00A36712"/>
    <w:rsid w:val="00A81E2C"/>
    <w:rsid w:val="00AA2979"/>
    <w:rsid w:val="00AB62B1"/>
    <w:rsid w:val="00B167B8"/>
    <w:rsid w:val="00B4189A"/>
    <w:rsid w:val="00BB7B46"/>
    <w:rsid w:val="00C972DF"/>
    <w:rsid w:val="00D03BF4"/>
    <w:rsid w:val="00DB6BDB"/>
    <w:rsid w:val="00E3668A"/>
    <w:rsid w:val="00E744D6"/>
    <w:rsid w:val="00EC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74B2"/>
  <w15:chartTrackingRefBased/>
  <w15:docId w15:val="{2F514D8F-A911-4A68-9D56-FB14127C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6BD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B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67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67B8"/>
  </w:style>
  <w:style w:type="paragraph" w:styleId="Pieddepage">
    <w:name w:val="footer"/>
    <w:basedOn w:val="Normal"/>
    <w:link w:val="PieddepageCar"/>
    <w:uiPriority w:val="99"/>
    <w:unhideWhenUsed/>
    <w:rsid w:val="00B167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6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23</cp:revision>
  <dcterms:created xsi:type="dcterms:W3CDTF">2021-01-03T17:37:00Z</dcterms:created>
  <dcterms:modified xsi:type="dcterms:W3CDTF">2021-01-22T15:33:00Z</dcterms:modified>
</cp:coreProperties>
</file>