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C936" w14:textId="2000EEEF" w:rsidR="008E5C3F" w:rsidRDefault="00665D75" w:rsidP="00665D75">
      <w:pPr>
        <w:spacing w:line="360" w:lineRule="auto"/>
        <w:jc w:val="center"/>
        <w:rPr>
          <w:rFonts w:asciiTheme="majorHAnsi" w:hAnsiTheme="majorHAnsi" w:cstheme="majorHAnsi"/>
          <w:sz w:val="32"/>
          <w:szCs w:val="32"/>
        </w:rPr>
      </w:pPr>
      <w:r>
        <w:rPr>
          <w:rFonts w:asciiTheme="majorHAnsi" w:hAnsiTheme="majorHAnsi" w:cstheme="majorHAnsi"/>
          <w:sz w:val="32"/>
          <w:szCs w:val="32"/>
        </w:rPr>
        <w:t>L</w:t>
      </w:r>
      <w:r w:rsidR="00776D95" w:rsidRPr="00267C03">
        <w:rPr>
          <w:rFonts w:asciiTheme="majorHAnsi" w:hAnsiTheme="majorHAnsi" w:cstheme="majorHAnsi"/>
          <w:sz w:val="32"/>
          <w:szCs w:val="32"/>
        </w:rPr>
        <w:t>es stades vers la sécurisation culturelle</w:t>
      </w:r>
    </w:p>
    <w:p w14:paraId="4642E795" w14:textId="0FBB29E8" w:rsidR="00665D75" w:rsidRDefault="00665D75" w:rsidP="00665D75">
      <w:pPr>
        <w:spacing w:line="360" w:lineRule="auto"/>
        <w:jc w:val="center"/>
      </w:pPr>
      <w:r>
        <w:fldChar w:fldCharType="begin"/>
      </w:r>
      <w:r>
        <w:instrText xml:space="preserve"> INCLUDEPICTURE "https://www.cisss-at.gouv.qc.ca/wp-content/uploads/2022/11/securisation-culturelle-arbre.jpg" \* MERGEFORMATINET </w:instrText>
      </w:r>
      <w:r>
        <w:fldChar w:fldCharType="separate"/>
      </w:r>
      <w:r>
        <w:rPr>
          <w:noProof/>
        </w:rPr>
        <w:drawing>
          <wp:inline distT="0" distB="0" distL="0" distR="0" wp14:anchorId="1A43568A" wp14:editId="245BBAE2">
            <wp:extent cx="1304459" cy="1304459"/>
            <wp:effectExtent l="0" t="0" r="3810" b="3810"/>
            <wp:docPr id="1904117862" name="Image 1" descr="Sécurisation culturelle - CISSS de l'Abitibi-Témiscami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écurisation culturelle - CISSS de l'Abitibi-Témiscaming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8221" cy="1318221"/>
                    </a:xfrm>
                    <a:prstGeom prst="rect">
                      <a:avLst/>
                    </a:prstGeom>
                    <a:noFill/>
                    <a:ln>
                      <a:noFill/>
                    </a:ln>
                  </pic:spPr>
                </pic:pic>
              </a:graphicData>
            </a:graphic>
          </wp:inline>
        </w:drawing>
      </w:r>
      <w:r>
        <w:fldChar w:fldCharType="end"/>
      </w:r>
    </w:p>
    <w:p w14:paraId="7A8E7B50" w14:textId="756F6A2F" w:rsidR="00665D75" w:rsidRPr="00665D75" w:rsidRDefault="00665D75" w:rsidP="00665D75">
      <w:pPr>
        <w:spacing w:line="360" w:lineRule="auto"/>
        <w:jc w:val="center"/>
        <w:rPr>
          <w:rFonts w:asciiTheme="majorHAnsi" w:hAnsiTheme="majorHAnsi" w:cstheme="majorHAnsi"/>
          <w:sz w:val="10"/>
          <w:szCs w:val="10"/>
        </w:rPr>
      </w:pPr>
      <w:r>
        <w:rPr>
          <w:rFonts w:asciiTheme="majorHAnsi" w:hAnsiTheme="majorHAnsi" w:cstheme="majorHAnsi"/>
          <w:sz w:val="10"/>
          <w:szCs w:val="10"/>
        </w:rPr>
        <w:fldChar w:fldCharType="begin"/>
      </w:r>
      <w:r>
        <w:rPr>
          <w:rFonts w:asciiTheme="majorHAnsi" w:hAnsiTheme="majorHAnsi" w:cstheme="majorHAnsi"/>
          <w:sz w:val="10"/>
          <w:szCs w:val="10"/>
        </w:rPr>
        <w:instrText>HYPERLINK "</w:instrText>
      </w:r>
      <w:r w:rsidRPr="00665D75">
        <w:rPr>
          <w:rFonts w:asciiTheme="majorHAnsi" w:hAnsiTheme="majorHAnsi" w:cstheme="majorHAnsi"/>
          <w:sz w:val="10"/>
          <w:szCs w:val="10"/>
        </w:rPr>
        <w:instrText>https://www.cisss-at.gouv.qc.ca/securisation-culturelle/</w:instrText>
      </w:r>
      <w:r>
        <w:rPr>
          <w:rFonts w:asciiTheme="majorHAnsi" w:hAnsiTheme="majorHAnsi" w:cstheme="majorHAnsi"/>
          <w:sz w:val="10"/>
          <w:szCs w:val="10"/>
        </w:rPr>
        <w:instrText>"</w:instrText>
      </w:r>
      <w:r>
        <w:rPr>
          <w:rFonts w:asciiTheme="majorHAnsi" w:hAnsiTheme="majorHAnsi" w:cstheme="majorHAnsi"/>
          <w:sz w:val="10"/>
          <w:szCs w:val="10"/>
        </w:rPr>
        <w:fldChar w:fldCharType="separate"/>
      </w:r>
      <w:r w:rsidRPr="009E6641">
        <w:rPr>
          <w:rStyle w:val="Hyperlien"/>
          <w:rFonts w:asciiTheme="majorHAnsi" w:hAnsiTheme="majorHAnsi" w:cstheme="majorHAnsi"/>
          <w:sz w:val="10"/>
          <w:szCs w:val="10"/>
        </w:rPr>
        <w:t>https://www.cisss-at.gouv.qc.ca/securisation-culturelle/</w:t>
      </w:r>
      <w:r>
        <w:rPr>
          <w:rFonts w:asciiTheme="majorHAnsi" w:hAnsiTheme="majorHAnsi" w:cstheme="majorHAnsi"/>
          <w:sz w:val="10"/>
          <w:szCs w:val="10"/>
        </w:rPr>
        <w:fldChar w:fldCharType="end"/>
      </w:r>
      <w:r>
        <w:rPr>
          <w:rFonts w:asciiTheme="majorHAnsi" w:hAnsiTheme="majorHAnsi" w:cstheme="majorHAnsi"/>
          <w:sz w:val="10"/>
          <w:szCs w:val="10"/>
        </w:rPr>
        <w:t xml:space="preserve"> </w:t>
      </w:r>
    </w:p>
    <w:p w14:paraId="505AFDB3" w14:textId="77777777" w:rsidR="00776D95" w:rsidRDefault="00776D95" w:rsidP="00267C03">
      <w:pPr>
        <w:spacing w:line="360" w:lineRule="auto"/>
        <w:jc w:val="both"/>
      </w:pPr>
    </w:p>
    <w:p w14:paraId="63B8130D" w14:textId="1D15A020"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002060"/>
        </w:rPr>
        <w:t>Destructivité culturelle</w:t>
      </w:r>
      <w:r w:rsidRPr="00267C03">
        <w:rPr>
          <w:rFonts w:asciiTheme="majorHAnsi" w:hAnsiTheme="majorHAnsi" w:cstheme="majorHAnsi"/>
          <w:color w:val="002060"/>
        </w:rPr>
        <w:t> </w:t>
      </w:r>
      <w:r w:rsidRPr="00776D95">
        <w:rPr>
          <w:rFonts w:asciiTheme="majorHAnsi" w:hAnsiTheme="majorHAnsi" w:cstheme="majorHAnsi"/>
        </w:rPr>
        <w:t>: Intention consciente de détruire la culture</w:t>
      </w:r>
      <w:r>
        <w:rPr>
          <w:rFonts w:asciiTheme="majorHAnsi" w:hAnsiTheme="majorHAnsi" w:cstheme="majorHAnsi"/>
        </w:rPr>
        <w:t xml:space="preserve"> (préjugés et de discrimination).</w:t>
      </w:r>
    </w:p>
    <w:p w14:paraId="198F7BF7" w14:textId="4C3D4BD6" w:rsidR="00776D95" w:rsidRDefault="00776D95" w:rsidP="00267C03">
      <w:pPr>
        <w:spacing w:line="360" w:lineRule="auto"/>
        <w:ind w:firstLine="708"/>
        <w:jc w:val="both"/>
        <w:rPr>
          <w:rFonts w:asciiTheme="majorHAnsi" w:hAnsiTheme="majorHAnsi" w:cstheme="majorHAnsi"/>
        </w:rPr>
      </w:pPr>
      <w:r>
        <w:rPr>
          <w:rFonts w:asciiTheme="majorHAnsi" w:hAnsiTheme="majorHAnsi" w:cstheme="majorHAnsi"/>
        </w:rPr>
        <w:t>Exemple concrète :</w:t>
      </w:r>
    </w:p>
    <w:p w14:paraId="22E443FF" w14:textId="7465F6E9" w:rsidR="00776D95" w:rsidRDefault="00776D95" w:rsidP="00267C03">
      <w:pPr>
        <w:spacing w:line="360" w:lineRule="auto"/>
        <w:jc w:val="both"/>
        <w:rPr>
          <w:rFonts w:asciiTheme="majorHAnsi" w:hAnsiTheme="majorHAnsi" w:cstheme="majorHAnsi"/>
        </w:rPr>
      </w:pPr>
    </w:p>
    <w:p w14:paraId="49D8A2CA" w14:textId="3685D870"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002060"/>
        </w:rPr>
        <w:t>Incapacité culturelle</w:t>
      </w:r>
      <w:r w:rsidRPr="00267C03">
        <w:rPr>
          <w:rFonts w:asciiTheme="majorHAnsi" w:hAnsiTheme="majorHAnsi" w:cstheme="majorHAnsi"/>
          <w:color w:val="002060"/>
        </w:rPr>
        <w:t xml:space="preserve"> : </w:t>
      </w:r>
      <w:r>
        <w:rPr>
          <w:rFonts w:asciiTheme="majorHAnsi" w:hAnsiTheme="majorHAnsi" w:cstheme="majorHAnsi"/>
        </w:rPr>
        <w:t xml:space="preserve">Intention d’agir pour le bien </w:t>
      </w:r>
      <w:proofErr w:type="gramStart"/>
      <w:r>
        <w:rPr>
          <w:rFonts w:asciiTheme="majorHAnsi" w:hAnsiTheme="majorHAnsi" w:cstheme="majorHAnsi"/>
        </w:rPr>
        <w:t>des autres</w:t>
      </w:r>
      <w:proofErr w:type="gramEnd"/>
      <w:r>
        <w:rPr>
          <w:rFonts w:asciiTheme="majorHAnsi" w:hAnsiTheme="majorHAnsi" w:cstheme="majorHAnsi"/>
        </w:rPr>
        <w:t>, mais de façon condescendante et en niant la capacité d’agir de la personne sur sa situation (paternalisme).</w:t>
      </w:r>
    </w:p>
    <w:p w14:paraId="135146DB" w14:textId="66931C31" w:rsidR="00267C03" w:rsidRDefault="00776D95" w:rsidP="00267C03">
      <w:pPr>
        <w:spacing w:line="360" w:lineRule="auto"/>
        <w:jc w:val="both"/>
        <w:rPr>
          <w:rFonts w:asciiTheme="majorHAnsi" w:hAnsiTheme="majorHAnsi" w:cstheme="majorHAnsi"/>
        </w:rPr>
      </w:pPr>
      <w:r>
        <w:rPr>
          <w:rFonts w:asciiTheme="majorHAnsi" w:hAnsiTheme="majorHAnsi" w:cstheme="majorHAnsi"/>
        </w:rPr>
        <w:tab/>
        <w:t>Exemple concrète :</w:t>
      </w:r>
    </w:p>
    <w:p w14:paraId="2590A6E1" w14:textId="77777777" w:rsidR="00267C03" w:rsidRDefault="00267C03" w:rsidP="00267C03">
      <w:pPr>
        <w:spacing w:line="360" w:lineRule="auto"/>
        <w:jc w:val="both"/>
        <w:rPr>
          <w:rFonts w:asciiTheme="majorHAnsi" w:hAnsiTheme="majorHAnsi" w:cstheme="majorHAnsi"/>
        </w:rPr>
      </w:pPr>
    </w:p>
    <w:p w14:paraId="414AE8D3" w14:textId="30180BFD"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002060"/>
        </w:rPr>
        <w:t>Inconscience culturelle</w:t>
      </w:r>
      <w:r w:rsidRPr="00267C03">
        <w:rPr>
          <w:rFonts w:asciiTheme="majorHAnsi" w:hAnsiTheme="majorHAnsi" w:cstheme="majorHAnsi"/>
          <w:color w:val="002060"/>
        </w:rPr>
        <w:t> </w:t>
      </w:r>
      <w:r>
        <w:rPr>
          <w:rFonts w:asciiTheme="majorHAnsi" w:hAnsiTheme="majorHAnsi" w:cstheme="majorHAnsi"/>
        </w:rPr>
        <w:t>: croyance que l’approche de soins et de services généralement utilisée est universellement applicable indépendamment des cultures.</w:t>
      </w:r>
    </w:p>
    <w:p w14:paraId="0243BCE3" w14:textId="76A46DDA" w:rsidR="00776D95" w:rsidRDefault="00776D95" w:rsidP="00267C03">
      <w:pPr>
        <w:spacing w:line="360" w:lineRule="auto"/>
        <w:jc w:val="both"/>
        <w:rPr>
          <w:rFonts w:asciiTheme="majorHAnsi" w:hAnsiTheme="majorHAnsi" w:cstheme="majorHAnsi"/>
        </w:rPr>
      </w:pPr>
      <w:r>
        <w:rPr>
          <w:rFonts w:asciiTheme="majorHAnsi" w:hAnsiTheme="majorHAnsi" w:cstheme="majorHAnsi"/>
        </w:rPr>
        <w:tab/>
        <w:t>Exemple concrète :</w:t>
      </w:r>
    </w:p>
    <w:p w14:paraId="203A93B8" w14:textId="77777777" w:rsidR="00776D95" w:rsidRDefault="00776D95" w:rsidP="00267C03">
      <w:pPr>
        <w:spacing w:line="360" w:lineRule="auto"/>
        <w:jc w:val="both"/>
        <w:rPr>
          <w:rFonts w:asciiTheme="majorHAnsi" w:hAnsiTheme="majorHAnsi" w:cstheme="majorHAnsi"/>
        </w:rPr>
      </w:pPr>
    </w:p>
    <w:p w14:paraId="2E15C3C7" w14:textId="395EC188"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19CFF2"/>
        </w:rPr>
        <w:t>Conscience culturelle</w:t>
      </w:r>
      <w:r>
        <w:rPr>
          <w:rFonts w:asciiTheme="majorHAnsi" w:hAnsiTheme="majorHAnsi" w:cstheme="majorHAnsi"/>
        </w:rPr>
        <w:t> : Reconnaissance de la diversité entre les cultures, mais sans égard aux particularités. Efforts d’intégration des cultures minoritaires (embauches, politique, etc.) mais qui peuvent être surtout symboliques.</w:t>
      </w:r>
    </w:p>
    <w:p w14:paraId="02F52A5D" w14:textId="0EA461F8" w:rsidR="00776D95" w:rsidRDefault="00776D95" w:rsidP="00267C03">
      <w:pPr>
        <w:spacing w:line="360" w:lineRule="auto"/>
        <w:jc w:val="both"/>
        <w:rPr>
          <w:rFonts w:asciiTheme="majorHAnsi" w:hAnsiTheme="majorHAnsi" w:cstheme="majorHAnsi"/>
        </w:rPr>
      </w:pPr>
      <w:r>
        <w:rPr>
          <w:rFonts w:asciiTheme="majorHAnsi" w:hAnsiTheme="majorHAnsi" w:cstheme="majorHAnsi"/>
        </w:rPr>
        <w:tab/>
        <w:t>Exemple concrète :</w:t>
      </w:r>
    </w:p>
    <w:p w14:paraId="1CACC55C" w14:textId="77777777" w:rsidR="00776D95" w:rsidRDefault="00776D95" w:rsidP="00267C03">
      <w:pPr>
        <w:spacing w:line="360" w:lineRule="auto"/>
        <w:jc w:val="both"/>
        <w:rPr>
          <w:rFonts w:asciiTheme="majorHAnsi" w:hAnsiTheme="majorHAnsi" w:cstheme="majorHAnsi"/>
        </w:rPr>
      </w:pPr>
    </w:p>
    <w:p w14:paraId="71533F6F" w14:textId="6CC6BE2D" w:rsidR="00776D95" w:rsidRDefault="00776D95" w:rsidP="00267C03">
      <w:pPr>
        <w:spacing w:line="360" w:lineRule="auto"/>
        <w:jc w:val="both"/>
        <w:rPr>
          <w:rFonts w:asciiTheme="majorHAnsi" w:hAnsiTheme="majorHAnsi" w:cstheme="majorHAnsi"/>
        </w:rPr>
      </w:pPr>
      <w:r w:rsidRPr="00267C03">
        <w:rPr>
          <w:rFonts w:asciiTheme="majorHAnsi" w:hAnsiTheme="majorHAnsi" w:cstheme="majorHAnsi"/>
          <w:b/>
          <w:bCs/>
          <w:color w:val="19CFF2"/>
        </w:rPr>
        <w:t>Sensibilité culturelle </w:t>
      </w:r>
      <w:r w:rsidRPr="00267C03">
        <w:rPr>
          <w:rFonts w:asciiTheme="majorHAnsi" w:hAnsiTheme="majorHAnsi" w:cstheme="majorHAnsi"/>
          <w:b/>
          <w:bCs/>
        </w:rPr>
        <w:t>:</w:t>
      </w:r>
      <w:r>
        <w:rPr>
          <w:rFonts w:asciiTheme="majorHAnsi" w:hAnsiTheme="majorHAnsi" w:cstheme="majorHAnsi"/>
        </w:rPr>
        <w:t xml:space="preserve"> Prise en compte des réalités culturelles des Premières Nations et </w:t>
      </w:r>
      <w:proofErr w:type="gramStart"/>
      <w:r>
        <w:rPr>
          <w:rFonts w:asciiTheme="majorHAnsi" w:hAnsiTheme="majorHAnsi" w:cstheme="majorHAnsi"/>
        </w:rPr>
        <w:t>des Inuit</w:t>
      </w:r>
      <w:proofErr w:type="gramEnd"/>
      <w:r>
        <w:rPr>
          <w:rFonts w:asciiTheme="majorHAnsi" w:hAnsiTheme="majorHAnsi" w:cstheme="majorHAnsi"/>
        </w:rPr>
        <w:t>. Tendance à la « </w:t>
      </w:r>
      <w:proofErr w:type="spellStart"/>
      <w:r>
        <w:rPr>
          <w:rFonts w:asciiTheme="majorHAnsi" w:hAnsiTheme="majorHAnsi" w:cstheme="majorHAnsi"/>
        </w:rPr>
        <w:t>folklorisation</w:t>
      </w:r>
      <w:proofErr w:type="spellEnd"/>
      <w:r>
        <w:rPr>
          <w:rFonts w:asciiTheme="majorHAnsi" w:hAnsiTheme="majorHAnsi" w:cstheme="majorHAnsi"/>
        </w:rPr>
        <w:t> » de la culture autochtone (par exemple, croire que toute</w:t>
      </w:r>
      <w:r w:rsidR="00267C03">
        <w:rPr>
          <w:rFonts w:asciiTheme="majorHAnsi" w:hAnsiTheme="majorHAnsi" w:cstheme="majorHAnsi"/>
        </w:rPr>
        <w:t>s les personnes de ces peuples souhaitent avoir recours aux approches de guérison traditionnelles).</w:t>
      </w:r>
    </w:p>
    <w:p w14:paraId="0236FF36" w14:textId="1F820849" w:rsidR="00267C03" w:rsidRDefault="00267C03" w:rsidP="00267C03">
      <w:pPr>
        <w:spacing w:line="360" w:lineRule="auto"/>
        <w:jc w:val="both"/>
        <w:rPr>
          <w:rFonts w:asciiTheme="majorHAnsi" w:hAnsiTheme="majorHAnsi" w:cstheme="majorHAnsi"/>
        </w:rPr>
      </w:pPr>
      <w:r>
        <w:rPr>
          <w:rFonts w:asciiTheme="majorHAnsi" w:hAnsiTheme="majorHAnsi" w:cstheme="majorHAnsi"/>
        </w:rPr>
        <w:lastRenderedPageBreak/>
        <w:tab/>
        <w:t>Exemple concrète :</w:t>
      </w:r>
    </w:p>
    <w:p w14:paraId="43F5A56B" w14:textId="77777777" w:rsidR="00267C03" w:rsidRDefault="00267C03" w:rsidP="00267C03">
      <w:pPr>
        <w:spacing w:line="360" w:lineRule="auto"/>
        <w:jc w:val="both"/>
        <w:rPr>
          <w:rFonts w:asciiTheme="majorHAnsi" w:hAnsiTheme="majorHAnsi" w:cstheme="majorHAnsi"/>
        </w:rPr>
      </w:pPr>
    </w:p>
    <w:p w14:paraId="0F3266AE" w14:textId="366F103A" w:rsidR="00267C03" w:rsidRDefault="00267C03" w:rsidP="00267C03">
      <w:pPr>
        <w:spacing w:line="360" w:lineRule="auto"/>
        <w:jc w:val="both"/>
        <w:rPr>
          <w:rFonts w:asciiTheme="majorHAnsi" w:hAnsiTheme="majorHAnsi" w:cstheme="majorHAnsi"/>
        </w:rPr>
      </w:pPr>
      <w:r w:rsidRPr="00267C03">
        <w:rPr>
          <w:rFonts w:asciiTheme="majorHAnsi" w:hAnsiTheme="majorHAnsi" w:cstheme="majorHAnsi"/>
          <w:b/>
          <w:bCs/>
          <w:color w:val="19CFF2"/>
        </w:rPr>
        <w:t>Compétence culturelle</w:t>
      </w:r>
      <w:r w:rsidRPr="00267C03">
        <w:rPr>
          <w:rFonts w:asciiTheme="majorHAnsi" w:hAnsiTheme="majorHAnsi" w:cstheme="majorHAnsi"/>
          <w:color w:val="19CFF2"/>
        </w:rPr>
        <w:t> </w:t>
      </w:r>
      <w:r>
        <w:rPr>
          <w:rFonts w:asciiTheme="majorHAnsi" w:hAnsiTheme="majorHAnsi" w:cstheme="majorHAnsi"/>
        </w:rPr>
        <w:t xml:space="preserve">: Capacité à conceptualiser les expériences individuelles et collectives des Premières Nations et </w:t>
      </w:r>
      <w:proofErr w:type="gramStart"/>
      <w:r>
        <w:rPr>
          <w:rFonts w:asciiTheme="majorHAnsi" w:hAnsiTheme="majorHAnsi" w:cstheme="majorHAnsi"/>
        </w:rPr>
        <w:t>des Inuit</w:t>
      </w:r>
      <w:proofErr w:type="gramEnd"/>
      <w:r>
        <w:rPr>
          <w:rFonts w:asciiTheme="majorHAnsi" w:hAnsiTheme="majorHAnsi" w:cstheme="majorHAnsi"/>
        </w:rPr>
        <w:t>. Adaptation des soins et des services en plus des interactions avec les Premières Nations et les Inuit grâce aux connaissances développées chez les acteurs du système de santé et de services sociaux.</w:t>
      </w:r>
    </w:p>
    <w:p w14:paraId="4F715A9A" w14:textId="4496FDC5" w:rsidR="00267C03" w:rsidRDefault="00267C03" w:rsidP="00267C03">
      <w:pPr>
        <w:spacing w:line="360" w:lineRule="auto"/>
        <w:jc w:val="both"/>
        <w:rPr>
          <w:rFonts w:asciiTheme="majorHAnsi" w:hAnsiTheme="majorHAnsi" w:cstheme="majorHAnsi"/>
        </w:rPr>
      </w:pPr>
      <w:r>
        <w:rPr>
          <w:rFonts w:asciiTheme="majorHAnsi" w:hAnsiTheme="majorHAnsi" w:cstheme="majorHAnsi"/>
        </w:rPr>
        <w:tab/>
        <w:t>Exemple concrète :</w:t>
      </w:r>
    </w:p>
    <w:p w14:paraId="5A9A27D2" w14:textId="77777777" w:rsidR="00267C03" w:rsidRDefault="00267C03" w:rsidP="00267C03">
      <w:pPr>
        <w:spacing w:line="360" w:lineRule="auto"/>
        <w:jc w:val="both"/>
        <w:rPr>
          <w:rFonts w:asciiTheme="majorHAnsi" w:hAnsiTheme="majorHAnsi" w:cstheme="majorHAnsi"/>
        </w:rPr>
      </w:pPr>
    </w:p>
    <w:p w14:paraId="1CEB4178" w14:textId="1F2AC0A3" w:rsidR="00267C03" w:rsidRDefault="00267C03" w:rsidP="00267C03">
      <w:pPr>
        <w:spacing w:line="360" w:lineRule="auto"/>
        <w:jc w:val="both"/>
        <w:rPr>
          <w:rFonts w:asciiTheme="majorHAnsi" w:hAnsiTheme="majorHAnsi" w:cstheme="majorHAnsi"/>
        </w:rPr>
      </w:pPr>
      <w:r w:rsidRPr="00267C03">
        <w:rPr>
          <w:rFonts w:asciiTheme="majorHAnsi" w:hAnsiTheme="majorHAnsi" w:cstheme="majorHAnsi"/>
          <w:b/>
          <w:bCs/>
          <w:color w:val="70AD47" w:themeColor="accent6"/>
        </w:rPr>
        <w:t>Sécurisation culturelle</w:t>
      </w:r>
      <w:r w:rsidRPr="00267C03">
        <w:rPr>
          <w:rFonts w:asciiTheme="majorHAnsi" w:hAnsiTheme="majorHAnsi" w:cstheme="majorHAnsi"/>
          <w:color w:val="70AD47" w:themeColor="accent6"/>
        </w:rPr>
        <w:t> </w:t>
      </w:r>
      <w:r>
        <w:rPr>
          <w:rFonts w:asciiTheme="majorHAnsi" w:hAnsiTheme="majorHAnsi" w:cstheme="majorHAnsi"/>
        </w:rPr>
        <w:t xml:space="preserve">: Considération de rôle des Premières Nations et </w:t>
      </w:r>
      <w:proofErr w:type="gramStart"/>
      <w:r>
        <w:rPr>
          <w:rFonts w:asciiTheme="majorHAnsi" w:hAnsiTheme="majorHAnsi" w:cstheme="majorHAnsi"/>
        </w:rPr>
        <w:t>des Inuit</w:t>
      </w:r>
      <w:proofErr w:type="gramEnd"/>
      <w:r>
        <w:rPr>
          <w:rFonts w:asciiTheme="majorHAnsi" w:hAnsiTheme="majorHAnsi" w:cstheme="majorHAnsi"/>
        </w:rPr>
        <w:t xml:space="preserve"> comme actif et déterminant dans leur santé et leur bien-être. Les programmes sont cohérents avec les réalités des Premières Nations et </w:t>
      </w:r>
      <w:proofErr w:type="gramStart"/>
      <w:r>
        <w:rPr>
          <w:rFonts w:asciiTheme="majorHAnsi" w:hAnsiTheme="majorHAnsi" w:cstheme="majorHAnsi"/>
        </w:rPr>
        <w:t>les Inuit</w:t>
      </w:r>
      <w:proofErr w:type="gramEnd"/>
      <w:r>
        <w:rPr>
          <w:rFonts w:asciiTheme="majorHAnsi" w:hAnsiTheme="majorHAnsi" w:cstheme="majorHAnsi"/>
        </w:rPr>
        <w:t xml:space="preserve">. Ils sont élaborés conjointement avec eux, et </w:t>
      </w:r>
      <w:proofErr w:type="gramStart"/>
      <w:r>
        <w:rPr>
          <w:rFonts w:asciiTheme="majorHAnsi" w:hAnsiTheme="majorHAnsi" w:cstheme="majorHAnsi"/>
        </w:rPr>
        <w:t>ce ,</w:t>
      </w:r>
      <w:proofErr w:type="gramEnd"/>
      <w:r>
        <w:rPr>
          <w:rFonts w:asciiTheme="majorHAnsi" w:hAnsiTheme="majorHAnsi" w:cstheme="majorHAnsi"/>
        </w:rPr>
        <w:t xml:space="preserve"> de manière globale et intégrée, ainsi que dans le cadre de partenariats entre les organisations des Premières Nations et des Inuit et celle du RSSS, dont le MSSS » Les politiques et les législations soutiennent l’équité pour les Premières Nations et les Inuit dans les soins et les services.</w:t>
      </w:r>
    </w:p>
    <w:p w14:paraId="4613112D" w14:textId="669F35D0" w:rsidR="00267C03" w:rsidRDefault="00267C03" w:rsidP="00267C03">
      <w:pPr>
        <w:spacing w:line="360" w:lineRule="auto"/>
        <w:jc w:val="both"/>
        <w:rPr>
          <w:rFonts w:asciiTheme="majorHAnsi" w:hAnsiTheme="majorHAnsi" w:cstheme="majorHAnsi"/>
        </w:rPr>
      </w:pPr>
      <w:r>
        <w:rPr>
          <w:rFonts w:asciiTheme="majorHAnsi" w:hAnsiTheme="majorHAnsi" w:cstheme="majorHAnsi"/>
        </w:rPr>
        <w:tab/>
        <w:t>Exemple concrète :</w:t>
      </w:r>
    </w:p>
    <w:p w14:paraId="75B9BA57" w14:textId="77777777" w:rsidR="00776D95" w:rsidRDefault="00776D95" w:rsidP="00267C03">
      <w:pPr>
        <w:spacing w:line="360" w:lineRule="auto"/>
        <w:jc w:val="both"/>
        <w:rPr>
          <w:rFonts w:asciiTheme="majorHAnsi" w:hAnsiTheme="majorHAnsi" w:cstheme="majorHAnsi"/>
        </w:rPr>
      </w:pPr>
    </w:p>
    <w:p w14:paraId="3B9C3CF4" w14:textId="77777777" w:rsidR="00776D95" w:rsidRDefault="00776D95" w:rsidP="00267C03">
      <w:pPr>
        <w:spacing w:line="360" w:lineRule="auto"/>
        <w:jc w:val="both"/>
        <w:rPr>
          <w:rFonts w:asciiTheme="majorHAnsi" w:hAnsiTheme="majorHAnsi" w:cstheme="majorHAnsi"/>
        </w:rPr>
      </w:pPr>
    </w:p>
    <w:p w14:paraId="0165B653" w14:textId="77777777" w:rsidR="00776D95" w:rsidRDefault="00776D95" w:rsidP="00267C03">
      <w:pPr>
        <w:spacing w:line="360" w:lineRule="auto"/>
        <w:jc w:val="both"/>
        <w:rPr>
          <w:rFonts w:asciiTheme="majorHAnsi" w:hAnsiTheme="majorHAnsi" w:cstheme="majorHAnsi"/>
        </w:rPr>
      </w:pPr>
    </w:p>
    <w:p w14:paraId="2A30DDF6" w14:textId="77777777" w:rsidR="00776D95" w:rsidRPr="00776D95" w:rsidRDefault="00776D95" w:rsidP="00267C03">
      <w:pPr>
        <w:spacing w:line="360" w:lineRule="auto"/>
        <w:jc w:val="both"/>
        <w:rPr>
          <w:rFonts w:asciiTheme="majorHAnsi" w:hAnsiTheme="majorHAnsi" w:cstheme="majorHAnsi"/>
        </w:rPr>
      </w:pPr>
    </w:p>
    <w:sectPr w:rsidR="00776D95" w:rsidRPr="00776D95" w:rsidSect="005D58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95"/>
    <w:rsid w:val="00267C03"/>
    <w:rsid w:val="00582924"/>
    <w:rsid w:val="005D5861"/>
    <w:rsid w:val="00665D75"/>
    <w:rsid w:val="00696112"/>
    <w:rsid w:val="00776D95"/>
    <w:rsid w:val="007B4D7F"/>
    <w:rsid w:val="00841746"/>
    <w:rsid w:val="008E5C3F"/>
    <w:rsid w:val="00B956AF"/>
    <w:rsid w:val="00D446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1BD9617"/>
  <w15:chartTrackingRefBased/>
  <w15:docId w15:val="{B0136AC6-33AE-B94A-99C9-D81F6EA4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665D75"/>
    <w:rPr>
      <w:color w:val="0563C1" w:themeColor="hyperlink"/>
      <w:u w:val="single"/>
    </w:rPr>
  </w:style>
  <w:style w:type="character" w:styleId="Mentionnonrsolue">
    <w:name w:val="Unresolved Mention"/>
    <w:basedOn w:val="Policepardfaut"/>
    <w:uiPriority w:val="99"/>
    <w:semiHidden/>
    <w:unhideWhenUsed/>
    <w:rsid w:val="00665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355</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Defoy</dc:creator>
  <cp:keywords/>
  <dc:description/>
  <cp:lastModifiedBy>Chantal Defoy</cp:lastModifiedBy>
  <cp:revision>2</cp:revision>
  <dcterms:created xsi:type="dcterms:W3CDTF">2023-09-09T21:24:00Z</dcterms:created>
  <dcterms:modified xsi:type="dcterms:W3CDTF">2023-09-11T20:10:00Z</dcterms:modified>
</cp:coreProperties>
</file>